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D" w:rsidRPr="00FB44F7" w:rsidRDefault="001B5E6D" w:rsidP="001B5E6D">
      <w:pPr>
        <w:pStyle w:val="BodyText"/>
        <w:spacing w:before="600" w:after="240" w:line="276" w:lineRule="auto"/>
        <w:jc w:val="center"/>
        <w:rPr>
          <w:b/>
          <w:szCs w:val="24"/>
          <w:lang w:val="es-ES"/>
        </w:rPr>
      </w:pPr>
      <w:r w:rsidRPr="00474541">
        <w:rPr>
          <w:b/>
          <w:szCs w:val="24"/>
          <w:lang w:val="es-ES"/>
        </w:rPr>
        <w:t xml:space="preserve">PLANTILLA PARA LA ESCRITURA DEL </w:t>
      </w:r>
      <w:r>
        <w:rPr>
          <w:b/>
          <w:szCs w:val="24"/>
          <w:lang w:val="es-ES"/>
        </w:rPr>
        <w:t>RESUMEN</w:t>
      </w:r>
      <w:r w:rsidR="00EC2A05">
        <w:rPr>
          <w:b/>
          <w:szCs w:val="24"/>
          <w:lang w:val="es-ES"/>
        </w:rPr>
        <w:t xml:space="preserve"> </w:t>
      </w:r>
      <w:r w:rsidR="00A43071">
        <w:rPr>
          <w:b/>
          <w:szCs w:val="24"/>
          <w:lang w:val="es-ES"/>
        </w:rPr>
        <w:t xml:space="preserve">DEL </w:t>
      </w:r>
      <w:r w:rsidRPr="00474541">
        <w:rPr>
          <w:b/>
          <w:szCs w:val="24"/>
          <w:lang w:val="es-ES"/>
        </w:rPr>
        <w:t>X</w:t>
      </w:r>
      <w:r>
        <w:rPr>
          <w:b/>
          <w:szCs w:val="24"/>
          <w:lang w:val="es-ES"/>
        </w:rPr>
        <w:t>I</w:t>
      </w:r>
      <w:r w:rsidRPr="00474541">
        <w:rPr>
          <w:b/>
          <w:szCs w:val="24"/>
          <w:lang w:val="es-ES"/>
        </w:rPr>
        <w:t>I SIMPOSIO ARGENTINO DE POLÍMEROS</w:t>
      </w:r>
    </w:p>
    <w:p w:rsidR="001B5E6D" w:rsidRPr="0053791B" w:rsidRDefault="001B5E6D" w:rsidP="001B5E6D">
      <w:pPr>
        <w:pStyle w:val="AuthorsAMCA"/>
        <w:spacing w:before="0"/>
        <w:rPr>
          <w:lang w:val="es-ES"/>
        </w:rPr>
      </w:pPr>
      <w:r>
        <w:rPr>
          <w:lang w:val="es-ES"/>
        </w:rPr>
        <w:t>P</w:t>
      </w:r>
      <w:r w:rsidRPr="0053791B">
        <w:rPr>
          <w:lang w:val="es-ES"/>
        </w:rPr>
        <w:t>rimer A. Autor</w:t>
      </w:r>
      <w:r w:rsidR="00565163">
        <w:rPr>
          <w:lang w:val="es-ES"/>
        </w:rPr>
        <w:t xml:space="preserve"> </w:t>
      </w:r>
      <w:r>
        <w:rPr>
          <w:b w:val="0"/>
          <w:vertAlign w:val="superscript"/>
          <w:lang w:val="es-ES"/>
        </w:rPr>
        <w:t>(1)*</w:t>
      </w:r>
      <w:r w:rsidRPr="0053791B">
        <w:rPr>
          <w:lang w:val="es-ES"/>
        </w:rPr>
        <w:t>,</w:t>
      </w:r>
      <w:r w:rsidR="00565163">
        <w:rPr>
          <w:lang w:val="es-ES"/>
        </w:rPr>
        <w:t xml:space="preserve"> </w:t>
      </w:r>
      <w:r w:rsidRPr="002237DC">
        <w:rPr>
          <w:u w:val="single"/>
          <w:lang w:val="es-ES"/>
        </w:rPr>
        <w:t>Segundo B. Autor</w:t>
      </w:r>
      <w:r w:rsidR="00565163">
        <w:rPr>
          <w:lang w:val="es-ES"/>
        </w:rPr>
        <w:t xml:space="preserve"> </w:t>
      </w:r>
      <w:r>
        <w:rPr>
          <w:b w:val="0"/>
          <w:vertAlign w:val="superscript"/>
          <w:lang w:val="es-ES"/>
        </w:rPr>
        <w:t>(1,2)</w:t>
      </w:r>
      <w:r w:rsidRPr="0053791B">
        <w:rPr>
          <w:lang w:val="es-ES"/>
        </w:rPr>
        <w:t>, Tercer C. Autor</w:t>
      </w:r>
      <w:r w:rsidR="00565163">
        <w:rPr>
          <w:lang w:val="es-ES"/>
        </w:rPr>
        <w:t xml:space="preserve"> </w:t>
      </w:r>
      <w:r>
        <w:rPr>
          <w:b w:val="0"/>
          <w:vertAlign w:val="superscript"/>
          <w:lang w:val="es-ES"/>
        </w:rPr>
        <w:t>(2)</w:t>
      </w:r>
      <w:r w:rsidRPr="0053791B">
        <w:rPr>
          <w:lang w:val="es-ES"/>
        </w:rPr>
        <w:t xml:space="preserve"> y Cuarto</w:t>
      </w:r>
      <w:r>
        <w:rPr>
          <w:lang w:val="es-ES"/>
        </w:rPr>
        <w:t xml:space="preserve"> D. Aut</w:t>
      </w:r>
      <w:r w:rsidRPr="0053791B">
        <w:rPr>
          <w:lang w:val="es-ES"/>
        </w:rPr>
        <w:t>or</w:t>
      </w:r>
      <w:r w:rsidR="00565163">
        <w:rPr>
          <w:lang w:val="es-ES"/>
        </w:rPr>
        <w:t xml:space="preserve"> </w:t>
      </w:r>
      <w:r>
        <w:rPr>
          <w:b w:val="0"/>
          <w:vertAlign w:val="superscript"/>
          <w:lang w:val="es-ES"/>
        </w:rPr>
        <w:t>(2)</w:t>
      </w:r>
    </w:p>
    <w:p w:rsidR="001B5E6D" w:rsidRPr="00A226D5" w:rsidRDefault="001B5E6D" w:rsidP="001B5E6D">
      <w:pPr>
        <w:pStyle w:val="AffiliationsAMCA"/>
        <w:spacing w:after="0" w:line="240" w:lineRule="auto"/>
      </w:pPr>
      <w:r>
        <w:rPr>
          <w:i w:val="0"/>
          <w:vertAlign w:val="superscript"/>
        </w:rPr>
        <w:t xml:space="preserve">(1) </w:t>
      </w:r>
      <w:r>
        <w:t>IPQA-CONICET. Laboratorio de Materiales Poliméricos, Departamento de Química Orgánica, Facultad de Ciencias Químicas</w:t>
      </w:r>
      <w:r w:rsidRPr="00A226D5">
        <w:t xml:space="preserve">, Universidad </w:t>
      </w:r>
      <w:r>
        <w:t>Nacional de Córdoba</w:t>
      </w:r>
      <w:r w:rsidRPr="00A226D5">
        <w:t xml:space="preserve">. </w:t>
      </w:r>
      <w:r>
        <w:t>Haya de la Torre esquina Medina Allende, Córdoba, Argentina.</w:t>
      </w:r>
    </w:p>
    <w:p w:rsidR="001B5E6D" w:rsidRPr="00A226D5" w:rsidRDefault="001B5E6D" w:rsidP="001B5E6D">
      <w:pPr>
        <w:pStyle w:val="AffiliationsAMCA"/>
        <w:spacing w:after="0" w:line="240" w:lineRule="auto"/>
      </w:pPr>
      <w:r w:rsidRPr="00C23E5B">
        <w:rPr>
          <w:i w:val="0"/>
          <w:vertAlign w:val="superscript"/>
        </w:rPr>
        <w:t>(2)</w:t>
      </w:r>
      <w:r w:rsidR="00565163">
        <w:rPr>
          <w:i w:val="0"/>
          <w:vertAlign w:val="superscript"/>
        </w:rPr>
        <w:t xml:space="preserve"> </w:t>
      </w:r>
      <w:r w:rsidRPr="00A226D5">
        <w:t>Departamento de Materiales, Facultad de Ciencias Exactas</w:t>
      </w:r>
      <w:r>
        <w:t>,</w:t>
      </w:r>
      <w:r w:rsidRPr="00A226D5">
        <w:t xml:space="preserve"> Físicas y Naturales, Universidad Nacional de Córdoba, Av. Vélez Sar</w:t>
      </w:r>
      <w:r>
        <w:t>sfield 1611, Córdoba, Argentina.</w:t>
      </w:r>
    </w:p>
    <w:p w:rsidR="001B5E6D" w:rsidRPr="00B30332" w:rsidRDefault="001B5E6D" w:rsidP="001B5E6D">
      <w:pPr>
        <w:pStyle w:val="AffiliationsAMCA"/>
        <w:spacing w:line="240" w:lineRule="auto"/>
        <w:rPr>
          <w:lang w:val="pt-BR"/>
        </w:rPr>
      </w:pPr>
      <w:r>
        <w:rPr>
          <w:lang w:val="pt-BR"/>
        </w:rPr>
        <w:t>*Correo Electrónico</w:t>
      </w:r>
      <w:r w:rsidRPr="00B30332">
        <w:rPr>
          <w:lang w:val="pt-BR"/>
        </w:rPr>
        <w:t xml:space="preserve"> (autor de contacto):</w:t>
      </w:r>
      <w:r w:rsidR="00795AE4">
        <w:fldChar w:fldCharType="begin"/>
      </w:r>
      <w:r w:rsidR="00795AE4">
        <w:instrText xml:space="preserve"> HYPERLINK "mailto:autor@mmm.edu.ar" </w:instrText>
      </w:r>
      <w:r w:rsidR="00795AE4">
        <w:fldChar w:fldCharType="separate"/>
      </w:r>
      <w:r w:rsidRPr="000E458A">
        <w:rPr>
          <w:rStyle w:val="Hyperlink"/>
          <w:lang w:val="pt-BR"/>
        </w:rPr>
        <w:t>autor@mmm.edu.ar</w:t>
      </w:r>
      <w:r w:rsidR="00795AE4">
        <w:rPr>
          <w:rStyle w:val="Hyperlink"/>
          <w:lang w:val="pt-BR"/>
        </w:rPr>
        <w:fldChar w:fldCharType="end"/>
      </w:r>
    </w:p>
    <w:p w:rsidR="001B5E6D" w:rsidRDefault="001B5E6D" w:rsidP="006505DB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Resumen</w:t>
      </w:r>
    </w:p>
    <w:p w:rsidR="001B5E6D" w:rsidRDefault="001B5E6D" w:rsidP="006505D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Incluir un resumen de no más de 300 palabras, empleando Times New </w:t>
      </w:r>
      <w:proofErr w:type="spellStart"/>
      <w:r>
        <w:rPr>
          <w:i/>
          <w:sz w:val="22"/>
          <w:szCs w:val="22"/>
        </w:rPr>
        <w:t>Roman</w:t>
      </w:r>
      <w:proofErr w:type="spellEnd"/>
      <w:r>
        <w:rPr>
          <w:i/>
          <w:sz w:val="22"/>
          <w:szCs w:val="22"/>
        </w:rPr>
        <w:t>, tamaño 11, itálica, sin espacio entre párrafos. Las referencias bibliográficas se denotan entre corchetes.</w:t>
      </w:r>
    </w:p>
    <w:p w:rsidR="001B5E6D" w:rsidRDefault="001B5E6D" w:rsidP="006505DB">
      <w:pPr>
        <w:jc w:val="both"/>
        <w:rPr>
          <w:caps/>
          <w:sz w:val="22"/>
          <w:szCs w:val="22"/>
        </w:rPr>
      </w:pPr>
    </w:p>
    <w:p w:rsidR="001B5E6D" w:rsidRPr="001C258D" w:rsidRDefault="001B5E6D" w:rsidP="006505DB">
      <w:pPr>
        <w:jc w:val="both"/>
        <w:rPr>
          <w:bCs/>
          <w:caps/>
          <w:sz w:val="22"/>
          <w:szCs w:val="22"/>
          <w:lang w:val="en-US"/>
        </w:rPr>
      </w:pPr>
      <w:r w:rsidRPr="001C258D">
        <w:rPr>
          <w:bCs/>
          <w:caps/>
          <w:sz w:val="22"/>
          <w:szCs w:val="22"/>
          <w:lang w:val="en-US"/>
        </w:rPr>
        <w:t>Lineamientos:</w:t>
      </w:r>
    </w:p>
    <w:p w:rsidR="001B5E6D" w:rsidRDefault="001B5E6D" w:rsidP="006505D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título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tamaño 12) debe ir centrado, en mayúsculas y en negrita.</w:t>
      </w:r>
    </w:p>
    <w:p w:rsidR="001B5E6D" w:rsidRDefault="001B5E6D" w:rsidP="006505D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nombre de los Autores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tamaño 12) debe ir centrado y en negrita.</w:t>
      </w:r>
      <w:r w:rsidR="007374E9">
        <w:rPr>
          <w:sz w:val="22"/>
          <w:szCs w:val="22"/>
        </w:rPr>
        <w:t xml:space="preserve"> Se recomienda </w:t>
      </w:r>
      <w:r w:rsidR="007374E9" w:rsidRPr="002237DC">
        <w:rPr>
          <w:sz w:val="22"/>
          <w:szCs w:val="22"/>
          <w:u w:val="single"/>
        </w:rPr>
        <w:t>subrayar</w:t>
      </w:r>
      <w:r w:rsidR="007374E9">
        <w:rPr>
          <w:sz w:val="22"/>
          <w:szCs w:val="22"/>
        </w:rPr>
        <w:t xml:space="preserve"> el autor que defienda el trabajo</w:t>
      </w:r>
      <w:r w:rsidR="002237DC">
        <w:rPr>
          <w:sz w:val="22"/>
          <w:szCs w:val="22"/>
        </w:rPr>
        <w:t xml:space="preserve"> presentado</w:t>
      </w:r>
      <w:r w:rsidR="007374E9">
        <w:rPr>
          <w:sz w:val="22"/>
          <w:szCs w:val="22"/>
        </w:rPr>
        <w:t>.</w:t>
      </w:r>
    </w:p>
    <w:p w:rsidR="001B5E6D" w:rsidRDefault="001B5E6D" w:rsidP="006505D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afiliaciones de los autores (Times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tamaño 11) deben ir centradas y en cursiva.</w:t>
      </w:r>
    </w:p>
    <w:p w:rsidR="001B5E6D" w:rsidRDefault="007374E9" w:rsidP="007374E9">
      <w:pPr>
        <w:numPr>
          <w:ilvl w:val="0"/>
          <w:numId w:val="1"/>
        </w:numPr>
        <w:rPr>
          <w:sz w:val="22"/>
          <w:szCs w:val="22"/>
        </w:rPr>
      </w:pPr>
      <w:r w:rsidRPr="007374E9">
        <w:rPr>
          <w:b/>
          <w:sz w:val="22"/>
          <w:szCs w:val="22"/>
        </w:rPr>
        <w:t>El formato de esta planilla debe ser respetado con el objeto de facilitar su correcta compilación en el proceso de edición</w:t>
      </w:r>
      <w:r w:rsidR="001B5E6D" w:rsidRPr="001F4E6A">
        <w:rPr>
          <w:b/>
          <w:sz w:val="22"/>
          <w:szCs w:val="22"/>
        </w:rPr>
        <w:t>.</w:t>
      </w:r>
    </w:p>
    <w:p w:rsidR="001B5E6D" w:rsidRPr="00356C00" w:rsidRDefault="001B5E6D" w:rsidP="006505D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F0C88" w:rsidRDefault="00FF0C88" w:rsidP="006505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referencias </w:t>
      </w:r>
      <w:r w:rsidR="006505DB">
        <w:rPr>
          <w:sz w:val="22"/>
          <w:szCs w:val="22"/>
        </w:rPr>
        <w:t xml:space="preserve">(Time New </w:t>
      </w:r>
      <w:proofErr w:type="spellStart"/>
      <w:r w:rsidR="006505DB">
        <w:rPr>
          <w:sz w:val="22"/>
          <w:szCs w:val="22"/>
        </w:rPr>
        <w:t>Roman</w:t>
      </w:r>
      <w:proofErr w:type="spellEnd"/>
      <w:r w:rsidR="006505DB">
        <w:rPr>
          <w:sz w:val="22"/>
          <w:szCs w:val="22"/>
        </w:rPr>
        <w:t xml:space="preserve">, tamaño 11) </w:t>
      </w:r>
      <w:r>
        <w:rPr>
          <w:sz w:val="22"/>
          <w:szCs w:val="22"/>
        </w:rPr>
        <w:t xml:space="preserve">deberán citarse, y siguiendo el formato detallado a continuación, teniendo en cuenta las variaciones en función del tipo de artículo citado, como por ejemplo </w:t>
      </w:r>
      <w:r w:rsidRPr="007374E9">
        <w:rPr>
          <w:sz w:val="22"/>
          <w:szCs w:val="22"/>
          <w:lang w:val="en-US"/>
        </w:rPr>
        <w:t>papers</w:t>
      </w:r>
      <w:r w:rsidR="00DB2835" w:rsidRPr="007374E9">
        <w:rPr>
          <w:sz w:val="22"/>
          <w:szCs w:val="22"/>
          <w:lang w:val="en-US"/>
        </w:rPr>
        <w:t>/reviews</w:t>
      </w:r>
      <w:r w:rsidRPr="00FF0C88">
        <w:rPr>
          <w:sz w:val="22"/>
          <w:szCs w:val="22"/>
        </w:rPr>
        <w:t xml:space="preserve"> [1], [2]; libros o secciones de libros [3], artículos publicados en actas de congresos [4], entre otros.</w:t>
      </w:r>
    </w:p>
    <w:p w:rsidR="00FF0C88" w:rsidRDefault="00FF0C88" w:rsidP="006505DB">
      <w:pPr>
        <w:rPr>
          <w:sz w:val="22"/>
          <w:szCs w:val="22"/>
        </w:rPr>
      </w:pPr>
    </w:p>
    <w:p w:rsidR="00FF0C88" w:rsidRDefault="00FF0C88" w:rsidP="006505DB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referencias</w:t>
      </w:r>
    </w:p>
    <w:p w:rsidR="00FF0C88" w:rsidRDefault="00FF0C88" w:rsidP="006505DB">
      <w:pPr>
        <w:rPr>
          <w:b/>
          <w:caps/>
          <w:sz w:val="22"/>
          <w:szCs w:val="22"/>
        </w:rPr>
      </w:pPr>
    </w:p>
    <w:p w:rsidR="006505DB" w:rsidRPr="006505DB" w:rsidRDefault="006505DB" w:rsidP="006505DB">
      <w:pPr>
        <w:widowControl w:val="0"/>
        <w:autoSpaceDE w:val="0"/>
        <w:autoSpaceDN w:val="0"/>
        <w:adjustRightInd w:val="0"/>
        <w:ind w:left="641" w:hanging="641"/>
        <w:rPr>
          <w:rFonts w:eastAsiaTheme="minorHAnsi"/>
          <w:noProof/>
          <w:sz w:val="22"/>
          <w:szCs w:val="24"/>
          <w:lang w:eastAsia="en-US"/>
        </w:rPr>
      </w:pPr>
      <w:r w:rsidRPr="006505DB">
        <w:rPr>
          <w:rFonts w:eastAsiaTheme="minorHAnsi"/>
          <w:noProof/>
          <w:sz w:val="22"/>
          <w:szCs w:val="24"/>
          <w:lang w:eastAsia="en-US"/>
        </w:rPr>
        <w:t>[1]</w:t>
      </w:r>
      <w:r w:rsidRPr="006505DB">
        <w:rPr>
          <w:rFonts w:eastAsiaTheme="minorHAnsi"/>
          <w:noProof/>
          <w:sz w:val="22"/>
          <w:szCs w:val="24"/>
          <w:lang w:eastAsia="en-US"/>
        </w:rPr>
        <w:tab/>
        <w:t>S. Shanmugam, J. Xu, and C. Boyer, “Photoinduced Oxygen Reduction for Dark Polymerization”</w:t>
      </w:r>
      <w:r w:rsidR="007B2036" w:rsidRPr="006505DB">
        <w:rPr>
          <w:rFonts w:eastAsiaTheme="minorHAnsi"/>
          <w:noProof/>
          <w:sz w:val="22"/>
          <w:szCs w:val="24"/>
          <w:lang w:eastAsia="en-US"/>
        </w:rPr>
        <w:t>,</w:t>
      </w:r>
      <w:r w:rsidR="007B2036">
        <w:rPr>
          <w:rFonts w:eastAsiaTheme="minorHAnsi"/>
          <w:noProof/>
          <w:sz w:val="22"/>
          <w:szCs w:val="24"/>
          <w:lang w:eastAsia="en-US"/>
        </w:rPr>
        <w:t xml:space="preserve"> </w:t>
      </w:r>
      <w:r w:rsidRPr="006505DB">
        <w:rPr>
          <w:rFonts w:eastAsiaTheme="minorHAnsi"/>
          <w:i/>
          <w:iCs/>
          <w:noProof/>
          <w:sz w:val="22"/>
          <w:szCs w:val="24"/>
          <w:lang w:eastAsia="en-US"/>
        </w:rPr>
        <w:t>Macromolecules</w:t>
      </w:r>
      <w:r w:rsidRPr="006505DB">
        <w:rPr>
          <w:rFonts w:eastAsiaTheme="minorHAnsi"/>
          <w:noProof/>
          <w:sz w:val="22"/>
          <w:szCs w:val="24"/>
          <w:lang w:eastAsia="en-US"/>
        </w:rPr>
        <w:t>, vol. 50, no. 5, pp. 1832–1846, 2017.</w:t>
      </w:r>
    </w:p>
    <w:p w:rsidR="006505DB" w:rsidRDefault="006505DB" w:rsidP="006505DB">
      <w:pPr>
        <w:widowControl w:val="0"/>
        <w:autoSpaceDE w:val="0"/>
        <w:autoSpaceDN w:val="0"/>
        <w:adjustRightInd w:val="0"/>
        <w:ind w:left="641" w:hanging="641"/>
        <w:rPr>
          <w:rFonts w:eastAsiaTheme="minorHAnsi"/>
          <w:noProof/>
          <w:sz w:val="22"/>
          <w:szCs w:val="24"/>
          <w:lang w:eastAsia="en-US"/>
        </w:rPr>
      </w:pPr>
      <w:r w:rsidRPr="006505DB">
        <w:rPr>
          <w:rFonts w:eastAsiaTheme="minorHAnsi"/>
          <w:noProof/>
          <w:sz w:val="22"/>
          <w:szCs w:val="24"/>
          <w:lang w:eastAsia="en-US"/>
        </w:rPr>
        <w:t>[2]</w:t>
      </w:r>
      <w:r w:rsidRPr="006505DB">
        <w:rPr>
          <w:rFonts w:eastAsiaTheme="minorHAnsi"/>
          <w:noProof/>
          <w:sz w:val="22"/>
          <w:szCs w:val="24"/>
          <w:lang w:eastAsia="en-US"/>
        </w:rPr>
        <w:tab/>
        <w:t xml:space="preserve">F. Svec, “Porous polymer monoliths: Amazingly wide variety of techniques enabling their preparation,” </w:t>
      </w:r>
      <w:r w:rsidRPr="006505DB">
        <w:rPr>
          <w:rFonts w:eastAsiaTheme="minorHAnsi"/>
          <w:i/>
          <w:iCs/>
          <w:noProof/>
          <w:sz w:val="22"/>
          <w:szCs w:val="24"/>
          <w:lang w:eastAsia="en-US"/>
        </w:rPr>
        <w:t>J. Chromatogr. A</w:t>
      </w:r>
      <w:r w:rsidRPr="006505DB">
        <w:rPr>
          <w:rFonts w:eastAsiaTheme="minorHAnsi"/>
          <w:noProof/>
          <w:sz w:val="22"/>
          <w:szCs w:val="24"/>
          <w:lang w:eastAsia="en-US"/>
        </w:rPr>
        <w:t>, vol. 1217, no. 6, pp. 902–924, 2010.</w:t>
      </w:r>
    </w:p>
    <w:p w:rsidR="006505DB" w:rsidRPr="006505DB" w:rsidRDefault="006505DB" w:rsidP="006505DB">
      <w:pPr>
        <w:widowControl w:val="0"/>
        <w:autoSpaceDE w:val="0"/>
        <w:autoSpaceDN w:val="0"/>
        <w:adjustRightInd w:val="0"/>
        <w:ind w:left="641" w:hanging="641"/>
        <w:rPr>
          <w:rFonts w:eastAsiaTheme="minorHAnsi"/>
          <w:noProof/>
          <w:sz w:val="22"/>
          <w:szCs w:val="24"/>
          <w:lang w:eastAsia="en-US"/>
        </w:rPr>
      </w:pPr>
      <w:r w:rsidRPr="006505DB">
        <w:rPr>
          <w:rFonts w:eastAsiaTheme="minorHAnsi"/>
          <w:noProof/>
          <w:sz w:val="22"/>
          <w:szCs w:val="24"/>
          <w:lang w:eastAsia="en-US"/>
        </w:rPr>
        <w:t>[3]</w:t>
      </w:r>
      <w:r w:rsidRPr="006505DB">
        <w:rPr>
          <w:rFonts w:eastAsiaTheme="minorHAnsi"/>
          <w:noProof/>
          <w:sz w:val="22"/>
          <w:szCs w:val="24"/>
          <w:lang w:eastAsia="en-US"/>
        </w:rPr>
        <w:tab/>
        <w:t xml:space="preserve">E. Malmström and A. Hult, “Statistically Branched Dendritic Polymers, </w:t>
      </w:r>
      <w:r w:rsidR="00777EEB">
        <w:rPr>
          <w:rFonts w:eastAsiaTheme="minorHAnsi"/>
          <w:noProof/>
          <w:sz w:val="22"/>
          <w:szCs w:val="24"/>
          <w:lang w:eastAsia="en-US"/>
        </w:rPr>
        <w:t>en</w:t>
      </w:r>
      <w:r w:rsidRPr="007B2036">
        <w:rPr>
          <w:rFonts w:eastAsiaTheme="minorHAnsi"/>
          <w:noProof/>
          <w:sz w:val="22"/>
          <w:szCs w:val="24"/>
          <w:lang w:eastAsia="en-US"/>
        </w:rPr>
        <w:t xml:space="preserve"> </w:t>
      </w:r>
      <w:r w:rsidRPr="007747EA">
        <w:rPr>
          <w:rFonts w:eastAsiaTheme="minorHAnsi"/>
          <w:iCs/>
          <w:noProof/>
          <w:sz w:val="22"/>
          <w:szCs w:val="24"/>
          <w:lang w:eastAsia="en-US"/>
        </w:rPr>
        <w:t>Dendrimers and Other Dendritic Polymers</w:t>
      </w:r>
      <w:r w:rsidR="007B2036" w:rsidRPr="006505DB">
        <w:rPr>
          <w:rFonts w:eastAsiaTheme="minorHAnsi"/>
          <w:noProof/>
          <w:sz w:val="22"/>
          <w:szCs w:val="24"/>
          <w:lang w:eastAsia="en-US"/>
        </w:rPr>
        <w:t>”</w:t>
      </w:r>
      <w:r w:rsidRPr="006505DB">
        <w:rPr>
          <w:rFonts w:eastAsiaTheme="minorHAnsi"/>
          <w:noProof/>
          <w:sz w:val="22"/>
          <w:szCs w:val="24"/>
          <w:lang w:eastAsia="en-US"/>
        </w:rPr>
        <w:t xml:space="preserve">, </w:t>
      </w:r>
      <w:r w:rsidRPr="007747EA">
        <w:rPr>
          <w:rFonts w:eastAsiaTheme="minorHAnsi"/>
          <w:i/>
          <w:noProof/>
          <w:sz w:val="22"/>
          <w:szCs w:val="24"/>
          <w:lang w:eastAsia="en-US"/>
        </w:rPr>
        <w:t>John Wiley &amp; Sons, Ltd</w:t>
      </w:r>
      <w:r w:rsidRPr="006505DB">
        <w:rPr>
          <w:rFonts w:eastAsiaTheme="minorHAnsi"/>
          <w:noProof/>
          <w:sz w:val="22"/>
          <w:szCs w:val="24"/>
          <w:lang w:eastAsia="en-US"/>
        </w:rPr>
        <w:t>, pp. 197–208, 2002</w:t>
      </w:r>
      <w:r w:rsidR="007B2036">
        <w:rPr>
          <w:rFonts w:eastAsiaTheme="minorHAnsi"/>
          <w:noProof/>
          <w:sz w:val="22"/>
          <w:szCs w:val="24"/>
          <w:lang w:eastAsia="en-US"/>
        </w:rPr>
        <w:t>.</w:t>
      </w:r>
    </w:p>
    <w:p w:rsidR="00FF0C88" w:rsidRPr="006505DB" w:rsidRDefault="006505DB" w:rsidP="006505DB">
      <w:pPr>
        <w:ind w:left="641" w:hanging="641"/>
        <w:rPr>
          <w:caps/>
          <w:sz w:val="22"/>
          <w:szCs w:val="22"/>
        </w:rPr>
      </w:pPr>
      <w:r w:rsidRPr="006505DB">
        <w:rPr>
          <w:rFonts w:eastAsiaTheme="minorHAnsi"/>
          <w:noProof/>
          <w:sz w:val="22"/>
          <w:szCs w:val="24"/>
          <w:lang w:eastAsia="en-US"/>
        </w:rPr>
        <w:t>[4]</w:t>
      </w:r>
      <w:r w:rsidRPr="006505DB">
        <w:rPr>
          <w:rFonts w:eastAsiaTheme="minorHAnsi"/>
          <w:noProof/>
          <w:sz w:val="22"/>
          <w:szCs w:val="24"/>
          <w:lang w:eastAsia="en-US"/>
        </w:rPr>
        <w:tab/>
        <w:t>F. G. Ornaghi, V. Pistor, and R. V. B. Oliveira, “Microstructure of Thermoplastic Polyurethane containing Organophilic Clay”</w:t>
      </w:r>
      <w:r w:rsidR="007B2036">
        <w:rPr>
          <w:rFonts w:eastAsiaTheme="minorHAnsi"/>
          <w:noProof/>
          <w:sz w:val="22"/>
          <w:szCs w:val="24"/>
          <w:lang w:eastAsia="en-US"/>
        </w:rPr>
        <w:t>,</w:t>
      </w:r>
      <w:r w:rsidRPr="006505DB">
        <w:rPr>
          <w:rFonts w:eastAsiaTheme="minorHAnsi"/>
          <w:noProof/>
          <w:sz w:val="22"/>
          <w:szCs w:val="24"/>
          <w:lang w:eastAsia="en-US"/>
        </w:rPr>
        <w:t xml:space="preserve"> </w:t>
      </w:r>
      <w:r w:rsidR="00777EEB">
        <w:rPr>
          <w:rFonts w:eastAsiaTheme="minorHAnsi"/>
          <w:noProof/>
          <w:sz w:val="22"/>
          <w:szCs w:val="24"/>
          <w:lang w:eastAsia="en-US"/>
        </w:rPr>
        <w:t>en</w:t>
      </w:r>
      <w:r w:rsidR="007747EA">
        <w:rPr>
          <w:rFonts w:eastAsiaTheme="minorHAnsi"/>
          <w:noProof/>
          <w:sz w:val="22"/>
          <w:szCs w:val="24"/>
          <w:lang w:eastAsia="en-US"/>
        </w:rPr>
        <w:t xml:space="preserve"> </w:t>
      </w:r>
      <w:r w:rsidRPr="006505DB">
        <w:rPr>
          <w:rFonts w:eastAsiaTheme="minorHAnsi"/>
          <w:i/>
          <w:iCs/>
          <w:noProof/>
          <w:sz w:val="22"/>
          <w:szCs w:val="24"/>
          <w:lang w:eastAsia="en-US"/>
        </w:rPr>
        <w:t>XIV SLAP</w:t>
      </w:r>
      <w:r w:rsidR="00E03F79">
        <w:rPr>
          <w:rFonts w:eastAsiaTheme="minorHAnsi"/>
          <w:i/>
          <w:iCs/>
          <w:noProof/>
          <w:sz w:val="22"/>
          <w:szCs w:val="24"/>
          <w:lang w:eastAsia="en-US"/>
        </w:rPr>
        <w:t xml:space="preserve"> 2014</w:t>
      </w:r>
      <w:r w:rsidRPr="006505DB">
        <w:rPr>
          <w:rFonts w:eastAsiaTheme="minorHAnsi"/>
          <w:noProof/>
          <w:sz w:val="22"/>
          <w:szCs w:val="24"/>
          <w:lang w:eastAsia="en-US"/>
        </w:rPr>
        <w:t>, pp. 2–5, 2014</w:t>
      </w:r>
      <w:r w:rsidR="007B2036">
        <w:rPr>
          <w:rFonts w:eastAsiaTheme="minorHAnsi"/>
          <w:noProof/>
          <w:sz w:val="22"/>
          <w:szCs w:val="24"/>
          <w:lang w:eastAsia="en-US"/>
        </w:rPr>
        <w:t>.</w:t>
      </w:r>
    </w:p>
    <w:p w:rsidR="00FF0C88" w:rsidRPr="00FF0C88" w:rsidRDefault="00FF0C88" w:rsidP="006505DB">
      <w:pPr>
        <w:rPr>
          <w:caps/>
          <w:sz w:val="22"/>
          <w:szCs w:val="22"/>
        </w:rPr>
      </w:pPr>
    </w:p>
    <w:p w:rsidR="001B5E6D" w:rsidRPr="00A226D5" w:rsidRDefault="001B5E6D" w:rsidP="006505DB">
      <w:pPr>
        <w:rPr>
          <w:i/>
          <w:sz w:val="22"/>
          <w:szCs w:val="22"/>
        </w:rPr>
      </w:pPr>
      <w:r w:rsidRPr="00342AF0">
        <w:rPr>
          <w:b/>
          <w:caps/>
          <w:sz w:val="22"/>
          <w:szCs w:val="22"/>
        </w:rPr>
        <w:t>Tópico</w:t>
      </w:r>
      <w:r w:rsidR="006505DB">
        <w:rPr>
          <w:b/>
          <w:caps/>
          <w:sz w:val="22"/>
          <w:szCs w:val="22"/>
        </w:rPr>
        <w:t>S</w:t>
      </w:r>
      <w:r w:rsidRPr="00342AF0">
        <w:rPr>
          <w:b/>
          <w:caps/>
          <w:sz w:val="22"/>
          <w:szCs w:val="22"/>
        </w:rPr>
        <w:t>:</w:t>
      </w:r>
      <w:r w:rsidR="007B2036">
        <w:rPr>
          <w:b/>
          <w:caps/>
          <w:sz w:val="22"/>
          <w:szCs w:val="22"/>
        </w:rPr>
        <w:t xml:space="preserve"> </w:t>
      </w:r>
      <w:r w:rsidRPr="00A226D5">
        <w:rPr>
          <w:i/>
          <w:sz w:val="22"/>
          <w:szCs w:val="22"/>
        </w:rPr>
        <w:t xml:space="preserve">Seleccione entre los </w:t>
      </w:r>
      <w:r w:rsidR="006505DB">
        <w:rPr>
          <w:i/>
          <w:sz w:val="22"/>
          <w:szCs w:val="22"/>
        </w:rPr>
        <w:t>10</w:t>
      </w:r>
      <w:r w:rsidRPr="00A226D5">
        <w:rPr>
          <w:i/>
          <w:sz w:val="22"/>
          <w:szCs w:val="22"/>
        </w:rPr>
        <w:t xml:space="preserve"> tópicos según la temática de su trabajo (</w:t>
      </w:r>
      <w:r>
        <w:rPr>
          <w:i/>
          <w:sz w:val="22"/>
          <w:szCs w:val="22"/>
        </w:rPr>
        <w:t>por ejemplo</w:t>
      </w:r>
      <w:r w:rsidR="006505DB">
        <w:rPr>
          <w:i/>
          <w:sz w:val="22"/>
          <w:szCs w:val="22"/>
        </w:rPr>
        <w:t>: T04</w:t>
      </w:r>
      <w:r w:rsidRPr="00A226D5">
        <w:rPr>
          <w:i/>
          <w:sz w:val="22"/>
          <w:szCs w:val="22"/>
        </w:rPr>
        <w:t>)</w:t>
      </w:r>
      <w:r w:rsidR="007B2036">
        <w:rPr>
          <w:i/>
          <w:sz w:val="22"/>
          <w:szCs w:val="22"/>
        </w:rPr>
        <w:t>.</w:t>
      </w:r>
    </w:p>
    <w:p w:rsidR="001B5E6D" w:rsidRDefault="001B5E6D" w:rsidP="006505DB">
      <w:pPr>
        <w:rPr>
          <w:i/>
          <w:sz w:val="20"/>
          <w:lang w:val="es-ES_tradnl"/>
        </w:rPr>
      </w:pPr>
    </w:p>
    <w:p w:rsidR="003964C0" w:rsidRDefault="001B5E6D" w:rsidP="00DB2835">
      <w:pPr>
        <w:rPr>
          <w:i/>
          <w:sz w:val="22"/>
          <w:szCs w:val="22"/>
        </w:rPr>
      </w:pPr>
      <w:r w:rsidRPr="00FB44F7">
        <w:rPr>
          <w:b/>
          <w:caps/>
          <w:sz w:val="22"/>
          <w:szCs w:val="22"/>
        </w:rPr>
        <w:t>presentación (oral o póster):</w:t>
      </w:r>
      <w:r w:rsidR="007B2036">
        <w:rPr>
          <w:b/>
          <w:caps/>
          <w:sz w:val="22"/>
          <w:szCs w:val="22"/>
        </w:rPr>
        <w:t xml:space="preserve"> </w:t>
      </w:r>
      <w:r w:rsidRPr="00A226D5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ndique su preferencia de presentación O (oral) </w:t>
      </w:r>
      <w:r w:rsidR="00565163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 xml:space="preserve"> P (</w:t>
      </w:r>
      <w:r w:rsidR="007B2036">
        <w:rPr>
          <w:i/>
          <w:sz w:val="22"/>
          <w:szCs w:val="22"/>
        </w:rPr>
        <w:t>póster</w:t>
      </w:r>
      <w:r>
        <w:rPr>
          <w:i/>
          <w:sz w:val="22"/>
          <w:szCs w:val="22"/>
        </w:rPr>
        <w:t>)</w:t>
      </w:r>
      <w:r w:rsidR="007B2036">
        <w:rPr>
          <w:i/>
          <w:sz w:val="22"/>
          <w:szCs w:val="22"/>
        </w:rPr>
        <w:t>.</w:t>
      </w:r>
    </w:p>
    <w:p w:rsidR="00FC6E3E" w:rsidRPr="00FC6E3E" w:rsidRDefault="00FC6E3E" w:rsidP="00DB2835">
      <w:pPr>
        <w:rPr>
          <w:sz w:val="22"/>
          <w:szCs w:val="22"/>
        </w:rPr>
      </w:pPr>
    </w:p>
    <w:p w:rsidR="0097585F" w:rsidRDefault="0097585F" w:rsidP="0062144E">
      <w:pPr>
        <w:tabs>
          <w:tab w:val="left" w:pos="0"/>
        </w:tabs>
        <w:jc w:val="both"/>
        <w:rPr>
          <w:i/>
          <w:iCs/>
          <w:sz w:val="22"/>
          <w:szCs w:val="22"/>
          <w:u w:val="single"/>
        </w:rPr>
      </w:pPr>
    </w:p>
    <w:p w:rsidR="0062144E" w:rsidRDefault="0062144E" w:rsidP="0097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i/>
          <w:iCs/>
          <w:sz w:val="22"/>
          <w:szCs w:val="22"/>
        </w:rPr>
      </w:pPr>
      <w:r w:rsidRPr="00F47B0F">
        <w:rPr>
          <w:i/>
          <w:iCs/>
          <w:sz w:val="22"/>
          <w:szCs w:val="22"/>
          <w:u w:val="single"/>
        </w:rPr>
        <w:t>Recuerde</w:t>
      </w:r>
      <w:r w:rsidRPr="00F47B0F">
        <w:rPr>
          <w:i/>
          <w:iCs/>
          <w:sz w:val="22"/>
          <w:szCs w:val="22"/>
        </w:rPr>
        <w:t xml:space="preserve">: cuando envíe el </w:t>
      </w:r>
      <w:r w:rsidRPr="00C87069">
        <w:rPr>
          <w:b/>
          <w:i/>
          <w:iCs/>
          <w:sz w:val="22"/>
          <w:szCs w:val="22"/>
        </w:rPr>
        <w:t>resumen</w:t>
      </w:r>
      <w:r w:rsidRPr="00F47B0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debe</w:t>
      </w:r>
      <w:r w:rsidRPr="00F47B0F">
        <w:rPr>
          <w:i/>
          <w:iCs/>
          <w:sz w:val="22"/>
          <w:szCs w:val="22"/>
        </w:rPr>
        <w:t xml:space="preserve"> denominar el archivo con el nombre</w:t>
      </w:r>
      <w:r>
        <w:rPr>
          <w:i/>
          <w:iCs/>
          <w:sz w:val="22"/>
          <w:szCs w:val="22"/>
        </w:rPr>
        <w:t xml:space="preserve"> de la siguiente manera:</w:t>
      </w:r>
      <w:r w:rsidRPr="00F47B0F">
        <w:rPr>
          <w:i/>
          <w:iCs/>
          <w:sz w:val="22"/>
          <w:szCs w:val="22"/>
        </w:rPr>
        <w:t xml:space="preserve"> </w:t>
      </w:r>
      <w:r w:rsidRPr="00F47B0F">
        <w:rPr>
          <w:b/>
          <w:bCs/>
          <w:i/>
          <w:iCs/>
          <w:sz w:val="22"/>
          <w:szCs w:val="22"/>
        </w:rPr>
        <w:t>Tópic</w:t>
      </w:r>
      <w:r>
        <w:rPr>
          <w:b/>
          <w:bCs/>
          <w:i/>
          <w:iCs/>
          <w:sz w:val="22"/>
          <w:szCs w:val="22"/>
        </w:rPr>
        <w:t>o-Iniciales de los Nombres y</w:t>
      </w:r>
      <w:r>
        <w:rPr>
          <w:b/>
          <w:bCs/>
          <w:i/>
          <w:iCs/>
          <w:sz w:val="22"/>
          <w:szCs w:val="22"/>
        </w:rPr>
        <w:t xml:space="preserve"> su</w:t>
      </w:r>
      <w:r w:rsidRPr="00F47B0F">
        <w:rPr>
          <w:b/>
          <w:bCs/>
          <w:i/>
          <w:iCs/>
          <w:sz w:val="22"/>
          <w:szCs w:val="22"/>
        </w:rPr>
        <w:t xml:space="preserve"> Apellido</w:t>
      </w:r>
      <w:r>
        <w:rPr>
          <w:b/>
          <w:bCs/>
          <w:i/>
          <w:iCs/>
          <w:sz w:val="22"/>
          <w:szCs w:val="22"/>
        </w:rPr>
        <w:t>. E</w:t>
      </w:r>
      <w:r w:rsidRPr="00F47B0F">
        <w:rPr>
          <w:b/>
          <w:bCs/>
          <w:i/>
          <w:iCs/>
          <w:sz w:val="22"/>
          <w:szCs w:val="22"/>
        </w:rPr>
        <w:t>n el caso de enviar más de un trabajo, co</w:t>
      </w:r>
      <w:r>
        <w:rPr>
          <w:b/>
          <w:bCs/>
          <w:i/>
          <w:iCs/>
          <w:sz w:val="22"/>
          <w:szCs w:val="22"/>
        </w:rPr>
        <w:t>locar el número del trabajo entre paréntesis luego del apellido</w:t>
      </w:r>
      <w:r>
        <w:rPr>
          <w:i/>
          <w:iCs/>
          <w:sz w:val="22"/>
          <w:szCs w:val="22"/>
        </w:rPr>
        <w:t>.</w:t>
      </w:r>
    </w:p>
    <w:p w:rsidR="00FC6E3E" w:rsidRPr="00E640D4" w:rsidRDefault="0062144E" w:rsidP="00975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i/>
          <w:iCs/>
          <w:sz w:val="22"/>
          <w:szCs w:val="22"/>
        </w:rPr>
      </w:pPr>
      <w:r w:rsidRPr="00F47B0F">
        <w:rPr>
          <w:i/>
          <w:iCs/>
          <w:sz w:val="22"/>
          <w:szCs w:val="22"/>
        </w:rPr>
        <w:t>Por ejemplo:</w:t>
      </w:r>
      <w:r w:rsidR="0097585F">
        <w:rPr>
          <w:i/>
          <w:iCs/>
          <w:sz w:val="22"/>
          <w:szCs w:val="22"/>
        </w:rPr>
        <w:t xml:space="preserve"> </w:t>
      </w:r>
      <w:r w:rsidRPr="00F47B0F"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>04</w:t>
      </w:r>
      <w:r w:rsidRPr="00F47B0F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>S.G</w:t>
      </w:r>
      <w:r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Garcia</w:t>
      </w:r>
      <w:r>
        <w:rPr>
          <w:i/>
          <w:iCs/>
          <w:sz w:val="22"/>
          <w:szCs w:val="22"/>
        </w:rPr>
        <w:t>(2)</w:t>
      </w:r>
      <w:bookmarkStart w:id="0" w:name="_GoBack"/>
      <w:bookmarkEnd w:id="0"/>
    </w:p>
    <w:sectPr w:rsidR="00FC6E3E" w:rsidRPr="00E640D4" w:rsidSect="0062144E">
      <w:headerReference w:type="default" r:id="rId7"/>
      <w:pgSz w:w="11906" w:h="16838"/>
      <w:pgMar w:top="680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17" w:rsidRDefault="004A0217" w:rsidP="001B5E6D">
      <w:r>
        <w:separator/>
      </w:r>
    </w:p>
  </w:endnote>
  <w:endnote w:type="continuationSeparator" w:id="0">
    <w:p w:rsidR="004A0217" w:rsidRDefault="004A0217" w:rsidP="001B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17" w:rsidRDefault="004A0217" w:rsidP="001B5E6D">
      <w:r>
        <w:separator/>
      </w:r>
    </w:p>
  </w:footnote>
  <w:footnote w:type="continuationSeparator" w:id="0">
    <w:p w:rsidR="004A0217" w:rsidRDefault="004A0217" w:rsidP="001B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5811"/>
    </w:tblGrid>
    <w:tr w:rsidR="001B5E6D" w:rsidTr="001B5E6D">
      <w:trPr>
        <w:jc w:val="center"/>
      </w:trPr>
      <w:tc>
        <w:tcPr>
          <w:tcW w:w="3823" w:type="dxa"/>
          <w:tcBorders>
            <w:bottom w:val="single" w:sz="12" w:space="0" w:color="auto"/>
          </w:tcBorders>
        </w:tcPr>
        <w:p w:rsidR="001B5E6D" w:rsidRPr="001B5E6D" w:rsidRDefault="001B5E6D" w:rsidP="001B5E6D">
          <w:pPr>
            <w:pStyle w:val="Header"/>
          </w:pPr>
          <w:r>
            <w:rPr>
              <w:b/>
              <w:noProof/>
              <w:sz w:val="28"/>
              <w:szCs w:val="28"/>
              <w:lang w:eastAsia="es-AR"/>
            </w:rPr>
            <w:drawing>
              <wp:inline distT="0" distB="0" distL="0" distR="0">
                <wp:extent cx="2172171" cy="788757"/>
                <wp:effectExtent l="0" t="0" r="0" b="0"/>
                <wp:docPr id="1" name="Picture 1" descr="C:\Users\David\AppData\Local\Microsoft\Windows\INetCache\Content.Word\Logo SAP 2017_Para templa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\AppData\Local\Microsoft\Windows\INetCache\Content.Word\Logo SAP 2017_Para templa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342" cy="796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bottom w:val="single" w:sz="12" w:space="0" w:color="auto"/>
          </w:tcBorders>
          <w:vAlign w:val="center"/>
        </w:tcPr>
        <w:p w:rsidR="001B5E6D" w:rsidRDefault="001B5E6D" w:rsidP="001B5E6D">
          <w:pPr>
            <w:widowControl w:val="0"/>
            <w:overflowPunct w:val="0"/>
            <w:autoSpaceDE w:val="0"/>
            <w:autoSpaceDN w:val="0"/>
            <w:adjustRightInd w:val="0"/>
            <w:spacing w:before="20" w:after="60"/>
            <w:jc w:val="center"/>
            <w:textAlignment w:val="baseline"/>
            <w:rPr>
              <w:rFonts w:ascii="Arial" w:hAnsi="Arial" w:cs="Arial"/>
              <w:b/>
              <w:szCs w:val="28"/>
              <w:lang w:val="es-ES"/>
            </w:rPr>
          </w:pPr>
        </w:p>
        <w:p w:rsidR="001B5E6D" w:rsidRPr="001B5E6D" w:rsidRDefault="001B5E6D" w:rsidP="001B5E6D">
          <w:pPr>
            <w:widowControl w:val="0"/>
            <w:overflowPunct w:val="0"/>
            <w:autoSpaceDE w:val="0"/>
            <w:autoSpaceDN w:val="0"/>
            <w:adjustRightInd w:val="0"/>
            <w:spacing w:before="20" w:after="60"/>
            <w:jc w:val="center"/>
            <w:textAlignment w:val="baseline"/>
            <w:rPr>
              <w:rFonts w:ascii="Arial" w:hAnsi="Arial" w:cs="Arial"/>
              <w:b/>
              <w:szCs w:val="28"/>
              <w:lang w:val="es-ES"/>
            </w:rPr>
          </w:pPr>
          <w:r w:rsidRPr="001B5E6D">
            <w:rPr>
              <w:rFonts w:ascii="Arial" w:hAnsi="Arial" w:cs="Arial"/>
              <w:b/>
              <w:szCs w:val="28"/>
              <w:lang w:val="es-ES"/>
            </w:rPr>
            <w:t xml:space="preserve">XII </w:t>
          </w:r>
          <w:r>
            <w:rPr>
              <w:rFonts w:ascii="Arial" w:hAnsi="Arial" w:cs="Arial"/>
              <w:b/>
              <w:szCs w:val="28"/>
              <w:lang w:val="es-ES"/>
            </w:rPr>
            <w:t>SIMPOSIO ARGENTINO DE POLÍMEROS</w:t>
          </w:r>
        </w:p>
        <w:p w:rsidR="001B5E6D" w:rsidRPr="001B5E6D" w:rsidRDefault="001B5E6D" w:rsidP="001B5E6D">
          <w:pPr>
            <w:pStyle w:val="Header"/>
            <w:jc w:val="center"/>
          </w:pPr>
          <w:r w:rsidRPr="001B5E6D">
            <w:rPr>
              <w:rFonts w:ascii="Arial" w:hAnsi="Arial" w:cs="Arial"/>
              <w:b/>
              <w:szCs w:val="22"/>
              <w:lang w:val="es-ES"/>
            </w:rPr>
            <w:t>18 al 20 de octubre de 2017 – Córdoba – ARGENTINA</w:t>
          </w:r>
        </w:p>
      </w:tc>
    </w:tr>
  </w:tbl>
  <w:p w:rsidR="001B5E6D" w:rsidRDefault="001B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138F"/>
    <w:multiLevelType w:val="hybridMultilevel"/>
    <w:tmpl w:val="F3824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E6D"/>
    <w:rsid w:val="001B5E6D"/>
    <w:rsid w:val="001D70FC"/>
    <w:rsid w:val="002237DC"/>
    <w:rsid w:val="00243FA5"/>
    <w:rsid w:val="0028053B"/>
    <w:rsid w:val="00356630"/>
    <w:rsid w:val="003964C0"/>
    <w:rsid w:val="004A0217"/>
    <w:rsid w:val="004D2169"/>
    <w:rsid w:val="00524674"/>
    <w:rsid w:val="00565163"/>
    <w:rsid w:val="0062144E"/>
    <w:rsid w:val="006505DB"/>
    <w:rsid w:val="007374E9"/>
    <w:rsid w:val="007747EA"/>
    <w:rsid w:val="00777EEB"/>
    <w:rsid w:val="00795AE4"/>
    <w:rsid w:val="007B2036"/>
    <w:rsid w:val="0097585F"/>
    <w:rsid w:val="00A43071"/>
    <w:rsid w:val="00C4524C"/>
    <w:rsid w:val="00C73C3D"/>
    <w:rsid w:val="00DB2835"/>
    <w:rsid w:val="00DE2A2B"/>
    <w:rsid w:val="00DE71E0"/>
    <w:rsid w:val="00E03F79"/>
    <w:rsid w:val="00E640D4"/>
    <w:rsid w:val="00E834C0"/>
    <w:rsid w:val="00EC2A05"/>
    <w:rsid w:val="00FA2BB6"/>
    <w:rsid w:val="00FC6E3E"/>
    <w:rsid w:val="00FF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18C7"/>
  <w15:docId w15:val="{F0292016-F1CC-4BB2-A688-022BBC6C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5E6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B5E6D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yperlink">
    <w:name w:val="Hyperlink"/>
    <w:rsid w:val="001B5E6D"/>
    <w:rPr>
      <w:color w:val="0000FF"/>
      <w:u w:val="single"/>
    </w:rPr>
  </w:style>
  <w:style w:type="paragraph" w:customStyle="1" w:styleId="AuthorsAMCA">
    <w:name w:val="Authors AMCA"/>
    <w:basedOn w:val="Normal"/>
    <w:rsid w:val="001B5E6D"/>
    <w:pPr>
      <w:widowControl w:val="0"/>
      <w:spacing w:before="240" w:after="240"/>
      <w:jc w:val="center"/>
      <w:outlineLvl w:val="0"/>
    </w:pPr>
    <w:rPr>
      <w:b/>
      <w:lang w:val="en-US" w:eastAsia="en-US"/>
    </w:rPr>
  </w:style>
  <w:style w:type="paragraph" w:customStyle="1" w:styleId="AffiliationsAMCA">
    <w:name w:val="Affiliations AMCA"/>
    <w:basedOn w:val="Normal"/>
    <w:rsid w:val="001B5E6D"/>
    <w:pPr>
      <w:widowControl w:val="0"/>
      <w:tabs>
        <w:tab w:val="left" w:pos="142"/>
      </w:tabs>
      <w:spacing w:after="240" w:line="260" w:lineRule="atLeast"/>
      <w:jc w:val="center"/>
    </w:pPr>
    <w:rPr>
      <w:i/>
      <w:iCs/>
      <w:sz w:val="22"/>
      <w:szCs w:val="22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B5E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E6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1B5E6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E6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1B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3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García</dc:creator>
  <cp:keywords/>
  <dc:description/>
  <cp:lastModifiedBy>David García</cp:lastModifiedBy>
  <cp:revision>14</cp:revision>
  <dcterms:created xsi:type="dcterms:W3CDTF">2017-03-21T20:33:00Z</dcterms:created>
  <dcterms:modified xsi:type="dcterms:W3CDTF">2017-04-11T16:32:00Z</dcterms:modified>
</cp:coreProperties>
</file>